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125" w:rsidRDefault="00233125" w:rsidP="00233125">
      <w:pPr>
        <w:jc w:val="center"/>
        <w:rPr>
          <w:rFonts w:eastAsia="Times New Roman"/>
        </w:rPr>
      </w:pPr>
      <w:r>
        <w:rPr>
          <w:rFonts w:eastAsia="Times New Roman"/>
        </w:rPr>
        <w:t>Лекция 13. Принципы корреляционного анализа. Случайные    процессы и их основные характеристики</w:t>
      </w:r>
    </w:p>
    <w:p w:rsidR="00233125" w:rsidRDefault="00233125" w:rsidP="00233125">
      <w:pPr>
        <w:jc w:val="center"/>
      </w:pPr>
    </w:p>
    <w:p w:rsidR="00233125" w:rsidRDefault="00233125" w:rsidP="00233125">
      <w:pPr>
        <w:jc w:val="center"/>
      </w:pPr>
      <w:r>
        <w:t>Содержание лекции:</w:t>
      </w:r>
    </w:p>
    <w:p w:rsidR="00233125" w:rsidRDefault="00233125" w:rsidP="00233125">
      <w:pPr>
        <w:jc w:val="center"/>
      </w:pPr>
      <w:r>
        <w:t>- автокорреляционная функция сигнала. Связь между энергетическим спектром сигнала и его автокорреляционной функцией. Взаимокорреляционная функция двух сигналов. Некоторые свойства взаимокорреляционной функции. Связь ВКФ с взаимной спектральной плотностью. Понятие случайного процесса. Плотность вероятности и интегральная функция распределения (ИФР).</w:t>
      </w:r>
    </w:p>
    <w:p w:rsidR="00233125" w:rsidRDefault="00233125" w:rsidP="00233125">
      <w:pPr>
        <w:jc w:val="center"/>
      </w:pPr>
    </w:p>
    <w:p w:rsidR="00233125" w:rsidRDefault="00233125" w:rsidP="00233125">
      <w:pPr>
        <w:jc w:val="center"/>
      </w:pPr>
      <w:r>
        <w:t>Цель лекции:</w:t>
      </w:r>
    </w:p>
    <w:p w:rsidR="00233125" w:rsidRDefault="00233125" w:rsidP="00233125">
      <w:pPr>
        <w:jc w:val="center"/>
      </w:pPr>
      <w:r>
        <w:t xml:space="preserve">- показать связь между АКФ и энергетическим спектром сигнала. Ввести характеристику совокупности двух сигналов — их </w:t>
      </w:r>
      <w:r>
        <w:rPr>
          <w:i/>
          <w:iCs/>
        </w:rPr>
        <w:t>взаимокорреляционную функцию</w:t>
      </w:r>
      <w:r>
        <w:t xml:space="preserve"> (ВКФ). Изучить явления при передаче сообщений в условиях, когда детерминированное описание сигналов принципиально невозможно и на смену ему приходит вероятностное (статистическое) описание. Описать свойства случайных сигналов, изучая совокупности случайных многомерных величин.</w:t>
      </w:r>
    </w:p>
    <w:p w:rsidR="00233125" w:rsidRDefault="00233125" w:rsidP="00233125">
      <w:pPr>
        <w:jc w:val="center"/>
      </w:pPr>
    </w:p>
    <w:p w:rsidR="00233125" w:rsidRDefault="00233125" w:rsidP="00233125">
      <w:pPr>
        <w:jc w:val="center"/>
      </w:pPr>
      <w:r>
        <w:t xml:space="preserve">Для количественного определения степени отличия сигнала </w:t>
      </w:r>
      <w:r>
        <w:rPr>
          <w:i/>
          <w:iCs/>
        </w:rPr>
        <w:t>и(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 его смещенной во времени копии </w:t>
      </w:r>
      <w:r>
        <w:rPr>
          <w:i/>
          <w:iCs/>
          <w:lang w:val="en-US"/>
        </w:rPr>
        <w:t>u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-τ)</w:t>
      </w:r>
      <w:r>
        <w:t xml:space="preserve"> принято вводить </w:t>
      </w:r>
      <w:r>
        <w:rPr>
          <w:i/>
          <w:iCs/>
        </w:rPr>
        <w:t>автокорреляционную функцию</w:t>
      </w:r>
      <w:r>
        <w:t xml:space="preserve"> (АКФ) сигнала </w:t>
      </w:r>
      <w:r>
        <w:rPr>
          <w:i/>
          <w:iCs/>
          <w:lang w:val="en-US"/>
        </w:rPr>
        <w:t>u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равную скалярному произведению сигнала и копии</w:t>
      </w:r>
    </w:p>
    <w:p w:rsidR="00233125" w:rsidRDefault="00233125" w:rsidP="00233125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4C3AC116" wp14:editId="050E5677">
            <wp:extent cx="1428750" cy="447675"/>
            <wp:effectExtent l="0" t="0" r="0" b="9525"/>
            <wp:docPr id="1" name="Picture 1" descr="C:\Users\Василий\Desktop\Нов лек ТЭС\Лекции ТЭС последние\ГЛАВА 2_files\image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C:\Users\Василий\Desktop\Нов лек ТЭС\Лекции ТЭС последние\ГЛАВА 2_files\image255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    (13.1)</w:t>
      </w:r>
    </w:p>
    <w:p w:rsidR="00233125" w:rsidRDefault="00233125" w:rsidP="00233125">
      <w:pPr>
        <w:jc w:val="center"/>
      </w:pPr>
      <w:r>
        <w:t>В дальнейшем будем предполагать, что исследуемый сигнал имеет локализованный во времени импульсный характер, так что интеграл вида (13.1) заведомо существует.</w:t>
      </w:r>
    </w:p>
    <w:p w:rsidR="00233125" w:rsidRDefault="00233125" w:rsidP="00233125">
      <w:pPr>
        <w:jc w:val="center"/>
      </w:pPr>
      <w:r>
        <w:t xml:space="preserve">К числу простейших </w:t>
      </w:r>
      <w:r>
        <w:rPr>
          <w:i/>
          <w:iCs/>
        </w:rPr>
        <w:t>свойств АКФ</w:t>
      </w:r>
      <w:r>
        <w:t xml:space="preserve"> можно отнести ее четность</w:t>
      </w:r>
    </w:p>
    <w:p w:rsidR="00233125" w:rsidRDefault="00233125" w:rsidP="00233125">
      <w:pPr>
        <w:jc w:val="center"/>
      </w:pPr>
      <w:proofErr w:type="gramStart"/>
      <w:r>
        <w:rPr>
          <w:lang w:val="en-US"/>
        </w:rPr>
        <w:t>B</w:t>
      </w:r>
      <w:r>
        <w:rPr>
          <w:vertAlign w:val="subscript"/>
          <w:lang w:val="en-US"/>
        </w:rPr>
        <w:t>u</w:t>
      </w:r>
      <w:r>
        <w:t>(</w:t>
      </w:r>
      <w:proofErr w:type="gramEnd"/>
      <w:r>
        <w:rPr>
          <w:lang w:val="en-US"/>
        </w:rPr>
        <w:t>τ</w:t>
      </w:r>
      <w:r>
        <w:t>)=</w:t>
      </w:r>
      <w:r>
        <w:rPr>
          <w:lang w:val="en-US"/>
        </w:rPr>
        <w:t>B</w:t>
      </w:r>
      <w:r>
        <w:rPr>
          <w:vertAlign w:val="subscript"/>
          <w:lang w:val="en-US"/>
        </w:rPr>
        <w:t>u</w:t>
      </w:r>
      <w:r>
        <w:t>(-</w:t>
      </w:r>
      <w:r>
        <w:rPr>
          <w:lang w:val="en-US"/>
        </w:rPr>
        <w:t>τ</w:t>
      </w:r>
      <w:r>
        <w:t>).                                   (13.2)</w:t>
      </w:r>
    </w:p>
    <w:p w:rsidR="00233125" w:rsidRDefault="00233125" w:rsidP="00233125">
      <w:pPr>
        <w:jc w:val="center"/>
      </w:pPr>
      <w:r>
        <w:t>Наконец, важное свойство автокорреляционной функции состоит в следующем: при любом значении временного сдвига т модуль АКФ не превосходит энергии сигнала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1217D52C" wp14:editId="3759A677">
            <wp:extent cx="1333500" cy="276225"/>
            <wp:effectExtent l="0" t="0" r="0" b="9525"/>
            <wp:docPr id="2" name="Picture 2" descr="C:\Users\Василий\Desktop\Нов лек ТЭС\Лекции ТЭС последние\ГЛАВА 2_files\image2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C:\Users\Василий\Desktop\Нов лек ТЭС\Лекции ТЭС последние\ГЛАВА 2_files\image256.gif"/>
                    <pic:cNvPicPr>
                      <a:picLocks noChangeAspect="1" noChangeArrowheads="1"/>
                    </pic:cNvPicPr>
                  </pic:nvPicPr>
                  <pic:blipFill>
                    <a:blip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  (13.3)</w:t>
      </w:r>
    </w:p>
    <w:p w:rsidR="00233125" w:rsidRDefault="00233125" w:rsidP="00233125">
      <w:pPr>
        <w:jc w:val="center"/>
      </w:pPr>
      <w:r>
        <w:t xml:space="preserve">Итак, АКФ представляется симметричной кривой с центральным максимумом, который всегда положителен. При этом в зависимости от вида сигнала </w:t>
      </w:r>
      <w:r>
        <w:rPr>
          <w:i/>
          <w:iCs/>
        </w:rPr>
        <w:t>и(t)</w:t>
      </w:r>
      <w:r>
        <w:t xml:space="preserve"> автокорреляционная функция может иметь как монотонно убывающий, так и колеблющийся характер.</w:t>
      </w:r>
    </w:p>
    <w:p w:rsidR="00233125" w:rsidRDefault="00233125" w:rsidP="00233125">
      <w:pPr>
        <w:jc w:val="center"/>
      </w:pPr>
      <w:r>
        <w:t xml:space="preserve">Действительно, в соответствии с формулой (13.1) АКФ есть скалярное произведение: </w:t>
      </w:r>
      <w:r>
        <w:rPr>
          <w:lang w:val="en-US"/>
        </w:rPr>
        <w:t>B</w:t>
      </w:r>
      <w:r>
        <w:rPr>
          <w:vertAlign w:val="subscript"/>
          <w:lang w:val="en-US"/>
        </w:rPr>
        <w:t>u</w:t>
      </w:r>
      <w:r>
        <w:t>(τ)=(</w:t>
      </w:r>
      <w:r>
        <w:rPr>
          <w:lang w:val="en-US"/>
        </w:rPr>
        <w:t>u</w:t>
      </w:r>
      <w:r>
        <w:t xml:space="preserve">, </w:t>
      </w:r>
      <w:r>
        <w:rPr>
          <w:lang w:val="en-US"/>
        </w:rPr>
        <w:t>u</w:t>
      </w:r>
      <w:r>
        <w:rPr>
          <w:vertAlign w:val="subscript"/>
        </w:rPr>
        <w:t>τ</w:t>
      </w:r>
      <w:r>
        <w:t xml:space="preserve">). Здесь символом </w:t>
      </w:r>
      <w:r>
        <w:rPr>
          <w:lang w:val="en-US"/>
        </w:rPr>
        <w:t>u</w:t>
      </w:r>
      <w:r>
        <w:rPr>
          <w:vertAlign w:val="subscript"/>
        </w:rPr>
        <w:t>τ</w:t>
      </w:r>
      <w:r>
        <w:t xml:space="preserve"> обозначена смещенная во времени копия сигнала </w:t>
      </w:r>
      <w:r>
        <w:rPr>
          <w:i/>
          <w:iCs/>
        </w:rPr>
        <w:t>и (t-τ</w:t>
      </w:r>
      <w:r>
        <w:t>).</w:t>
      </w:r>
    </w:p>
    <w:p w:rsidR="00233125" w:rsidRDefault="00233125" w:rsidP="00233125">
      <w:pPr>
        <w:jc w:val="center"/>
      </w:pPr>
      <w:r>
        <w:t>Обратившись к обобщенной формуле Рэлея, можно записать равенство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055406E4" wp14:editId="0398FC46">
            <wp:extent cx="1762125" cy="438150"/>
            <wp:effectExtent l="0" t="0" r="0" b="0"/>
            <wp:docPr id="3" name="Picture 3" descr="C:\Users\Василий\Desktop\Нов лек ТЭС\Лекции ТЭС последние\ГЛАВА 2_files\image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C:\Users\Василий\Desktop\Нов лек ТЭС\Лекции ТЭС последние\ГЛАВА 2_files\image257.gif"/>
                    <pic:cNvPicPr>
                      <a:picLocks noChangeAspect="1" noChangeArrowheads="1"/>
                    </pic:cNvPicPr>
                  </pic:nvPicPr>
                  <pic:blipFill>
                    <a:blip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233125" w:rsidRDefault="00233125" w:rsidP="00233125">
      <w:pPr>
        <w:jc w:val="center"/>
      </w:pPr>
      <w:r>
        <w:t xml:space="preserve">Спектральная плотность смещенного во времени сигнала </w:t>
      </w:r>
      <w:r>
        <w:rPr>
          <w:noProof/>
          <w:vertAlign w:val="subscript"/>
        </w:rPr>
        <w:drawing>
          <wp:inline distT="0" distB="0" distL="0" distR="0" wp14:anchorId="1F12B9B0" wp14:editId="2C6A4784">
            <wp:extent cx="1885950" cy="266700"/>
            <wp:effectExtent l="0" t="0" r="0" b="0"/>
            <wp:docPr id="4" name="Picture 4" descr="C:\Users\Василий\Desktop\Нов лек ТЭС\Лекции ТЭС последние\ГЛАВА 2_files\image2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C:\Users\Василий\Desktop\Нов лек ТЭС\Лекции ТЭС последние\ГЛАВА 2_files\image258.gif"/>
                    <pic:cNvPicPr>
                      <a:picLocks noChangeAspect="1" noChangeArrowheads="1"/>
                    </pic:cNvPicPr>
                  </pic:nvPicPr>
                  <pic:blipFill>
                    <a:blip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откуда </w:t>
      </w:r>
      <w:r>
        <w:rPr>
          <w:noProof/>
          <w:vertAlign w:val="subscript"/>
        </w:rPr>
        <w:drawing>
          <wp:inline distT="0" distB="0" distL="0" distR="0" wp14:anchorId="04465DBC" wp14:editId="1A86B36A">
            <wp:extent cx="1838325" cy="266700"/>
            <wp:effectExtent l="0" t="0" r="9525" b="0"/>
            <wp:docPr id="5" name="Picture 5" descr="C:\Users\Василий\Desktop\Нов лек ТЭС\Лекции ТЭС последние\ГЛАВА 2_files\image2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C:\Users\Василий\Desktop\Нов лек ТЭС\Лекции ТЭС последние\ГЛАВА 2_files\image259.gif"/>
                    <pic:cNvPicPr>
                      <a:picLocks noChangeAspect="1" noChangeArrowheads="1"/>
                    </pic:cNvPicPr>
                  </pic:nvPicPr>
                  <pic:blipFill>
                    <a:blip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233125" w:rsidRDefault="00233125" w:rsidP="00233125">
      <w:pPr>
        <w:jc w:val="center"/>
      </w:pPr>
      <w:r>
        <w:t>Таким образом, приходим к результату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3C9DB33D" wp14:editId="08F1FAD0">
            <wp:extent cx="1724025" cy="447675"/>
            <wp:effectExtent l="0" t="0" r="0" b="9525"/>
            <wp:docPr id="6" name="Picture 6" descr="C:\Users\Василий\Desktop\Нов лек ТЭС\Лекции ТЭС последние\ГЛАВА 2_files\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C:\Users\Василий\Desktop\Нов лек ТЭС\Лекции ТЭС последние\ГЛАВА 2_files\image260.gif"/>
                    <pic:cNvPicPr>
                      <a:picLocks noChangeAspect="1" noChangeArrowheads="1"/>
                    </pic:cNvPicPr>
                  </pic:nvPicPr>
                  <pic:blipFill>
                    <a:blip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 (13.4)</w:t>
      </w:r>
    </w:p>
    <w:p w:rsidR="00233125" w:rsidRDefault="00233125" w:rsidP="00233125">
      <w:pPr>
        <w:jc w:val="center"/>
      </w:pPr>
      <w:r>
        <w:t>Квадрат модуля спектральной плотности, как известно, представляет собой энергетический спектр сигнала. Итак, энергетический спектр и автокорреляционная функция связаны преобразованием Фурье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462FB443" wp14:editId="2F2338BF">
            <wp:extent cx="1609725" cy="266700"/>
            <wp:effectExtent l="0" t="0" r="9525" b="0"/>
            <wp:docPr id="7" name="Picture 7" descr="C:\Users\Василий\Desktop\Нов лек ТЭС\Лекции ТЭС последние\ГЛАВА 2_files\image2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C:\Users\Василий\Desktop\Нов лек ТЭС\Лекции ТЭС последние\ГЛАВА 2_files\image261.gif"/>
                    <pic:cNvPicPr>
                      <a:picLocks noChangeAspect="1" noChangeArrowheads="1"/>
                    </pic:cNvPicPr>
                  </pic:nvPicPr>
                  <pic:blipFill>
                    <a:blip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 (13.5)</w:t>
      </w:r>
    </w:p>
    <w:p w:rsidR="00233125" w:rsidRDefault="00233125" w:rsidP="00233125">
      <w:pPr>
        <w:jc w:val="center"/>
      </w:pPr>
      <w:r>
        <w:lastRenderedPageBreak/>
        <w:t>Имеется и обратное соотношение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7544B905" wp14:editId="687AF983">
            <wp:extent cx="1543050" cy="447675"/>
            <wp:effectExtent l="0" t="0" r="0" b="9525"/>
            <wp:docPr id="8" name="Picture 8" descr="C:\Users\Василий\Desktop\Нов лек ТЭС\Лекции ТЭС последние\ГЛАВА 2_files\image2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C:\Users\Василий\Desktop\Нов лек ТЭС\Лекции ТЭС последние\ГЛАВА 2_files\image262.gif"/>
                    <pic:cNvPicPr>
                      <a:picLocks noChangeAspect="1" noChangeArrowheads="1"/>
                    </pic:cNvPicPr>
                  </pic:nvPicPr>
                  <pic:blipFill>
                    <a:blip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 (13.6)</w:t>
      </w:r>
    </w:p>
    <w:p w:rsidR="00233125" w:rsidRDefault="00233125" w:rsidP="00233125">
      <w:pPr>
        <w:jc w:val="center"/>
      </w:pPr>
      <w:r>
        <w:t>Эти результаты принципиально важны по двум причинам. Во-первых, оказывается возможным оценивать корреляционные свойства сигналов, исходя из распределения их энергии по спектру. Чем шире полоса частот сигнала, тем уже основной лепесток автокорреляционной функции и тем совершеннее сигнал с точки зрения возможности точного измерения момента его начала.</w:t>
      </w:r>
    </w:p>
    <w:p w:rsidR="00233125" w:rsidRDefault="00233125" w:rsidP="00233125">
      <w:pPr>
        <w:jc w:val="center"/>
      </w:pPr>
      <w:r>
        <w:t>Во-вторых, формулы (13.4) и (13.6) указывают путь экспериментального определения энергетического спектра. Часто удобнее вначале получить автокорреляционную функцию, а затем, используя преобразование Фурье, найти энергетический спектр сигнала.</w:t>
      </w:r>
    </w:p>
    <w:p w:rsidR="00233125" w:rsidRDefault="00233125" w:rsidP="00233125">
      <w:pPr>
        <w:jc w:val="center"/>
      </w:pPr>
      <w:r>
        <w:t xml:space="preserve">Обобщая формулу (13.1), назовем </w:t>
      </w:r>
      <w:r>
        <w:rPr>
          <w:i/>
          <w:iCs/>
        </w:rPr>
        <w:t>взаимокорреляционной функцией</w:t>
      </w:r>
      <w:r>
        <w:t xml:space="preserve"> двух вещественных сигналов </w:t>
      </w:r>
      <w:r>
        <w:rPr>
          <w:i/>
          <w:iCs/>
        </w:rPr>
        <w:t>и(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и </w:t>
      </w:r>
      <w:r>
        <w:rPr>
          <w:i/>
          <w:iCs/>
          <w:lang w:val="en-US"/>
        </w:rPr>
        <w:t>v</w:t>
      </w:r>
      <w:r>
        <w:t>(</w:t>
      </w:r>
      <w:r>
        <w:rPr>
          <w:lang w:val="en-US"/>
        </w:rPr>
        <w:t>t</w:t>
      </w:r>
      <w:r>
        <w:t>) скалярное произведение вида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50C30ACE" wp14:editId="6582501C">
            <wp:extent cx="1419225" cy="438150"/>
            <wp:effectExtent l="0" t="0" r="9525" b="0"/>
            <wp:docPr id="9" name="Picture 9" descr="C:\Users\Василий\Desktop\Нов лек ТЭС\Лекции ТЭС последние\ГЛАВА 2_files\image2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C:\Users\Василий\Desktop\Нов лек ТЭС\Лекции ТЭС последние\ГЛАВА 2_files\image263.gif"/>
                    <pic:cNvPicPr>
                      <a:picLocks noChangeAspect="1" noChangeArrowheads="1"/>
                    </pic:cNvPicPr>
                  </pic:nvPicPr>
                  <pic:blipFill>
                    <a:blip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(13.7)</w:t>
      </w:r>
    </w:p>
    <w:p w:rsidR="00233125" w:rsidRDefault="00233125" w:rsidP="00233125">
      <w:pPr>
        <w:jc w:val="center"/>
      </w:pPr>
      <w:r>
        <w:t>Если в формуле (5.7) заменить переменную интегрирования, введя</w:t>
      </w:r>
    </w:p>
    <w:p w:rsidR="00233125" w:rsidRDefault="00233125" w:rsidP="00233125">
      <w:pPr>
        <w:jc w:val="center"/>
      </w:pPr>
      <w:r>
        <w:t xml:space="preserve">х = </w:t>
      </w:r>
      <w:r>
        <w:rPr>
          <w:lang w:val="en-US"/>
        </w:rPr>
        <w:t>t</w:t>
      </w:r>
      <w:r>
        <w:t>-</w:t>
      </w:r>
      <w:r>
        <w:rPr>
          <w:lang w:val="en-US"/>
        </w:rPr>
        <w:t>τ</w:t>
      </w:r>
      <w:r>
        <w:t xml:space="preserve">, так что </w:t>
      </w:r>
      <w:proofErr w:type="spellStart"/>
      <w:r>
        <w:rPr>
          <w:i/>
          <w:iCs/>
          <w:lang w:val="en-US"/>
        </w:rPr>
        <w:t>dt</w:t>
      </w:r>
      <w:proofErr w:type="spellEnd"/>
      <w:r>
        <w:rPr>
          <w:i/>
          <w:iCs/>
        </w:rPr>
        <w:t>=</w:t>
      </w:r>
      <w:r>
        <w:rPr>
          <w:i/>
          <w:iCs/>
          <w:lang w:val="en-US"/>
        </w:rPr>
        <w:t>dx</w:t>
      </w:r>
      <w:r>
        <w:rPr>
          <w:i/>
          <w:iCs/>
        </w:rPr>
        <w:t>,</w:t>
      </w:r>
      <w:r>
        <w:t xml:space="preserve"> то, очевидно, возможна и такая запись</w:t>
      </w:r>
    </w:p>
    <w:p w:rsidR="00233125" w:rsidRDefault="00233125" w:rsidP="00233125">
      <w:pPr>
        <w:jc w:val="center"/>
      </w:pPr>
      <w:r>
        <w:rPr>
          <w:i/>
          <w:noProof/>
          <w:vertAlign w:val="subscript"/>
        </w:rPr>
        <w:drawing>
          <wp:inline distT="0" distB="0" distL="0" distR="0" wp14:anchorId="534822C1" wp14:editId="116A2520">
            <wp:extent cx="1371600" cy="400050"/>
            <wp:effectExtent l="0" t="0" r="0" b="0"/>
            <wp:docPr id="10" name="Picture 10" descr="C:\Users\Василий\Desktop\Нов лек ТЭС\Лекции ТЭС последние\ГЛАВА 2_files\image2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C:\Users\Василий\Desktop\Нов лек ТЭС\Лекции ТЭС последние\ГЛАВА 2_files\image264.gif"/>
                    <pic:cNvPicPr>
                      <a:picLocks noChangeAspect="1" noChangeArrowheads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</w:rPr>
        <w:t>.</w:t>
      </w:r>
      <w:r>
        <w:t>                           (13.8)</w:t>
      </w:r>
    </w:p>
    <w:p w:rsidR="00233125" w:rsidRDefault="00233125" w:rsidP="00233125">
      <w:pPr>
        <w:jc w:val="center"/>
      </w:pPr>
      <w:r>
        <w:t>Поэтому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301EFC64" wp14:editId="2FC551E9">
            <wp:extent cx="1076325" cy="228600"/>
            <wp:effectExtent l="0" t="0" r="9525" b="0"/>
            <wp:docPr id="11" name="Picture 11" descr="C:\Users\Василий\Desktop\Нов лек ТЭС\Лекции ТЭС последние\ГЛАВА 2_files\image2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C:\Users\Василий\Desktop\Нов лек ТЭС\Лекции ТЭС последние\ГЛАВА 2_files\image265.gif"/>
                    <pic:cNvPicPr>
                      <a:picLocks noChangeAspect="1" noChangeArrowheads="1"/>
                    </pic:cNvPicPr>
                  </pic:nvPicPr>
                  <pic:blipFill>
                    <a:blip r:link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                                       (13.9)</w:t>
      </w:r>
    </w:p>
    <w:p w:rsidR="00233125" w:rsidRDefault="00233125" w:rsidP="00233125">
      <w:pPr>
        <w:jc w:val="center"/>
      </w:pPr>
      <w:r>
        <w:t xml:space="preserve">В отличие от автокорреляционной функции одиночного сигнала, ВКФ, описывающая свойства системы двух неодинаковых сигналов, не является четной функцией аргумента τ: </w:t>
      </w:r>
      <w:r>
        <w:rPr>
          <w:noProof/>
          <w:vertAlign w:val="subscript"/>
        </w:rPr>
        <w:drawing>
          <wp:inline distT="0" distB="0" distL="0" distR="0" wp14:anchorId="3FE4195B" wp14:editId="2CAD9D5D">
            <wp:extent cx="1066800" cy="228600"/>
            <wp:effectExtent l="0" t="0" r="0" b="0"/>
            <wp:docPr id="12" name="Picture 12" descr="C:\Users\Василий\Desktop\Нов лек ТЭС\Лекции ТЭС последние\ГЛАВА 2_files\image2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C:\Users\Василий\Desktop\Нов лек ТЭС\Лекции ТЭС последние\ГЛАВА 2_files\image266.gif"/>
                    <pic:cNvPicPr>
                      <a:picLocks noChangeAspect="1" noChangeArrowheads="1"/>
                    </pic:cNvPicPr>
                  </pic:nvPicPr>
                  <pic:blipFill>
                    <a:blip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233125" w:rsidRDefault="00233125" w:rsidP="00233125">
      <w:pPr>
        <w:jc w:val="center"/>
      </w:pPr>
      <w:r>
        <w:t xml:space="preserve">Если рассматриваемые сигналы имеют конечные энергии, то их взаимокорреляционная функция ограничена. Это утверждение следует из неравенства Коши — Буняковского: </w:t>
      </w:r>
      <w:r>
        <w:rPr>
          <w:noProof/>
          <w:vertAlign w:val="subscript"/>
        </w:rPr>
        <w:drawing>
          <wp:inline distT="0" distB="0" distL="0" distR="0" wp14:anchorId="1B7AC271" wp14:editId="4F8231BB">
            <wp:extent cx="1657350" cy="266700"/>
            <wp:effectExtent l="0" t="0" r="0" b="0"/>
            <wp:docPr id="13" name="Picture 13" descr="C:\Users\Василий\Desktop\Нов лек ТЭС\Лекции ТЭС последние\ГЛАВА 2_files\image2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C:\Users\Василий\Desktop\Нов лек ТЭС\Лекции ТЭС последние\ГЛАВА 2_files\image267.gif"/>
                    <pic:cNvPicPr>
                      <a:picLocks noChangeAspect="1" noChangeArrowheads="1"/>
                    </pic:cNvPicPr>
                  </pic:nvPicPr>
                  <pic:blipFill>
                    <a:blip r:link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 откуда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50BAB41D" wp14:editId="259CACEE">
            <wp:extent cx="914400" cy="228600"/>
            <wp:effectExtent l="0" t="0" r="0" b="0"/>
            <wp:docPr id="14" name="Picture 14" descr="C:\Users\Василий\Desktop\Нов лек ТЭС\Лекции ТЭС последние\ГЛАВА 2_files\image2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C:\Users\Василий\Desktop\Нов лек ТЭС\Лекции ТЭС последние\ГЛАВА 2_files\image268.gif"/>
                    <pic:cNvPicPr>
                      <a:picLocks noChangeAspect="1" noChangeArrowheads="1"/>
                    </pic:cNvPicPr>
                  </pic:nvPicPr>
                  <pic:blipFill>
                    <a:blip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                                         (13.10)</w:t>
      </w:r>
    </w:p>
    <w:p w:rsidR="00233125" w:rsidRDefault="00233125" w:rsidP="00233125">
      <w:pPr>
        <w:jc w:val="center"/>
      </w:pPr>
      <w:r>
        <w:t>так как сдвиг сигнала во времени не влияет на значение его нормы.</w:t>
      </w:r>
    </w:p>
    <w:p w:rsidR="00233125" w:rsidRDefault="00233125" w:rsidP="00233125">
      <w:pPr>
        <w:jc w:val="center"/>
      </w:pPr>
      <w:r>
        <w:t>Следует обратить внимание на то, что при τ=0 значения ВКФ вовсе не обязаны достигать максимума.</w:t>
      </w:r>
    </w:p>
    <w:p w:rsidR="00233125" w:rsidRDefault="00233125" w:rsidP="00233125">
      <w:pPr>
        <w:jc w:val="center"/>
      </w:pPr>
      <w:r>
        <w:t>Выразим ВКФ двух сигналов через их спектральные характеристики. На основании обобщенной формулы Рэлея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06A2EBA0" wp14:editId="3335FF57">
            <wp:extent cx="1876425" cy="419100"/>
            <wp:effectExtent l="0" t="0" r="9525" b="0"/>
            <wp:docPr id="15" name="Picture 15" descr="C:\Users\Василий\Desktop\Нов лек ТЭС\Лекции ТЭС последние\ГЛАВА 2_files\image2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C:\Users\Василий\Desktop\Нов лек ТЭС\Лекции ТЭС последние\ГЛАВА 2_files\image269.gif"/>
                    <pic:cNvPicPr>
                      <a:picLocks noChangeAspect="1" noChangeArrowheads="1"/>
                    </pic:cNvPicPr>
                  </pic:nvPicPr>
                  <pic:blipFill>
                    <a:blip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233125" w:rsidRDefault="00233125" w:rsidP="00233125">
      <w:pPr>
        <w:jc w:val="center"/>
      </w:pPr>
      <w:r>
        <w:t xml:space="preserve">Имея в виду, что величина </w:t>
      </w:r>
      <w:r>
        <w:rPr>
          <w:noProof/>
          <w:vertAlign w:val="subscript"/>
        </w:rPr>
        <w:drawing>
          <wp:inline distT="0" distB="0" distL="0" distR="0" wp14:anchorId="39917882" wp14:editId="1CC8ED25">
            <wp:extent cx="1362075" cy="238125"/>
            <wp:effectExtent l="0" t="0" r="9525" b="9525"/>
            <wp:docPr id="16" name="Picture 16" descr="C:\Users\Василий\Desktop\Нов лек ТЭС\Лекции ТЭС последние\ГЛАВА 2_files\image2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C:\Users\Василий\Desktop\Нов лек ТЭС\Лекции ТЭС последние\ГЛАВА 2_files\image270.gif"/>
                    <pic:cNvPicPr>
                      <a:picLocks noChangeAspect="1" noChangeArrowheads="1"/>
                    </pic:cNvPicPr>
                  </pic:nvPicPr>
                  <pic:blipFill>
                    <a:blip r:link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 есть взаимный энергетический спектр сигналов </w:t>
      </w:r>
      <w:r>
        <w:rPr>
          <w:i/>
          <w:iCs/>
        </w:rPr>
        <w:t>и</w:t>
      </w:r>
      <w:r>
        <w:t>(</w:t>
      </w:r>
      <w:r>
        <w:rPr>
          <w:lang w:val="en-US"/>
        </w:rPr>
        <w:t>t</w:t>
      </w:r>
      <w:r>
        <w:t xml:space="preserve">) и </w:t>
      </w:r>
      <w:r>
        <w:rPr>
          <w:i/>
          <w:iCs/>
          <w:lang w:val="en-US"/>
        </w:rPr>
        <w:t>v</w:t>
      </w:r>
      <w:r>
        <w:t>(</w:t>
      </w:r>
      <w:r>
        <w:rPr>
          <w:lang w:val="en-US"/>
        </w:rPr>
        <w:t>t</w:t>
      </w:r>
      <w:r>
        <w:t xml:space="preserve">), определенный в бесконечном интервале частот -∞&lt;ω&lt;∞, приходим к выводу: </w:t>
      </w:r>
      <w:r>
        <w:rPr>
          <w:i/>
          <w:iCs/>
        </w:rPr>
        <w:t>взаимокорреляционная функция и взаимный энергетический спектр двух сигналов связаны парой преобразований Фурье.</w:t>
      </w:r>
    </w:p>
    <w:p w:rsidR="00233125" w:rsidRDefault="00233125" w:rsidP="00233125">
      <w:pPr>
        <w:jc w:val="center"/>
      </w:pPr>
      <w:r>
        <w:t xml:space="preserve">В основе большинства методов исследования общей теории связи лежит представление о процессе передачи сообщения как некоторого случайного процесса, развивающегося (чаще всего) во времени. Словом </w:t>
      </w:r>
      <w:r>
        <w:rPr>
          <w:i/>
          <w:iCs/>
        </w:rPr>
        <w:t>случайный</w:t>
      </w:r>
      <w:r>
        <w:t xml:space="preserve"> подчеркивается то обстоятельство, что предопределить зара</w:t>
      </w:r>
      <w:r>
        <w:softHyphen/>
        <w:t xml:space="preserve">нее точное протекание процесса невозможно. По определению, </w:t>
      </w:r>
      <w:r>
        <w:rPr>
          <w:i/>
          <w:iCs/>
        </w:rPr>
        <w:t>случайный процесс</w:t>
      </w:r>
      <w:r>
        <w:t xml:space="preserve"> Х(</w:t>
      </w:r>
      <w:r>
        <w:rPr>
          <w:lang w:val="en-US"/>
        </w:rPr>
        <w:t>t</w:t>
      </w:r>
      <w:r>
        <w:t xml:space="preserve">)—это особого вида функция, характеризующаяся тем, что в любой момент времени </w:t>
      </w:r>
      <w:r>
        <w:rPr>
          <w:i/>
          <w:iCs/>
          <w:lang w:val="en-US"/>
        </w:rPr>
        <w:t>t</w:t>
      </w:r>
      <w:r>
        <w:t xml:space="preserve"> принимаемые ею значения являются случайными величинами. Типичным примером случайного процесса может служить напряжение </w:t>
      </w:r>
      <w:r>
        <w:rPr>
          <w:lang w:val="en-US"/>
        </w:rPr>
        <w:t>Z</w:t>
      </w:r>
      <w:r>
        <w:t>(</w:t>
      </w:r>
      <w:r>
        <w:rPr>
          <w:lang w:val="en-US"/>
        </w:rPr>
        <w:t>Q</w:t>
      </w:r>
      <w:r>
        <w:t xml:space="preserve">) =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 xml:space="preserve">) +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на входе приёмника. Наблюдая напряжение в данный момент, мы не можем с полной определённо</w:t>
      </w:r>
      <w:r>
        <w:softHyphen/>
        <w:t xml:space="preserve">стью предсказать, каково будет его значение в последующие моменты времени. Это объясняется тем, что параметры формируемого передатчиком канального сигнала </w:t>
      </w:r>
      <w:r>
        <w:rPr>
          <w:i/>
          <w:iCs/>
          <w:lang w:val="en-US"/>
        </w:rPr>
        <w:t>s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(амплитуда, частота, фаза) изменяются случайным образом в соот</w:t>
      </w:r>
      <w:r>
        <w:softHyphen/>
        <w:t xml:space="preserve">ветствии с передаваемым сообщением </w:t>
      </w:r>
      <w:r>
        <w:rPr>
          <w:i/>
          <w:iCs/>
          <w:lang w:val="en-US"/>
        </w:rPr>
        <w:t>a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).</w:t>
      </w:r>
      <w:r>
        <w:t xml:space="preserve"> Кроме того, в процессе передачи сигнал подвергается воздействию различных аддитивных помех </w:t>
      </w:r>
      <w:r>
        <w:rPr>
          <w:i/>
          <w:iCs/>
          <w:lang w:val="en-US"/>
        </w:rPr>
        <w:t>N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),</w:t>
      </w:r>
      <w:r>
        <w:t xml:space="preserve"> имеющих случайный характер, например, в виде электрических разрядов в атмосфере, помех от электрического транспорта, помех от других радиостанций и т.д. Случайность процесса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проявляется в том, что вид наблюдаемой функции случайным образом меняется от одного наблюдения к другому. Однако получаемая в результате каждого отдельного опыта функция </w:t>
      </w:r>
      <w:r>
        <w:rPr>
          <w:i/>
          <w:iCs/>
        </w:rPr>
        <w:t>х(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не случайна, её называют </w:t>
      </w:r>
      <w:r>
        <w:rPr>
          <w:i/>
          <w:iCs/>
        </w:rPr>
        <w:t>реализацией случайной функции.</w:t>
      </w:r>
      <w:r>
        <w:t xml:space="preserve"> Случайный процесс представляет собой бесконечную совокупность таких реализации, образующих </w:t>
      </w:r>
      <w:r>
        <w:rPr>
          <w:i/>
          <w:iCs/>
        </w:rPr>
        <w:t>статистический ансамбль.</w:t>
      </w:r>
      <w:r>
        <w:t xml:space="preserve"> На рисунке 5.1 показаны четыре реализации случайного процесса. Если на графике множества реализации случайной функции </w:t>
      </w:r>
      <w:r>
        <w:rPr>
          <w:i/>
          <w:iCs/>
        </w:rPr>
        <w:t>Х(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(см. рисунок 13.1) выбрать момент (сечение) </w:t>
      </w:r>
      <w:r>
        <w:rPr>
          <w:lang w:val="en-US"/>
        </w:rPr>
        <w:t>t</w:t>
      </w:r>
      <w:r>
        <w:rPr>
          <w:vertAlign w:val="subscript"/>
        </w:rPr>
        <w:t>1</w:t>
      </w:r>
      <w:r>
        <w:rPr>
          <w:i/>
          <w:iCs/>
        </w:rPr>
        <w:t>,</w:t>
      </w:r>
      <w:r>
        <w:t xml:space="preserve"> то множество {х</w:t>
      </w:r>
      <w:r>
        <w:rPr>
          <w:vertAlign w:val="superscript"/>
        </w:rPr>
        <w:t>(</w:t>
      </w:r>
      <w:r>
        <w:rPr>
          <w:vertAlign w:val="superscript"/>
          <w:lang w:val="en-US"/>
        </w:rPr>
        <w:t>r</w:t>
      </w:r>
      <w:r>
        <w:rPr>
          <w:vertAlign w:val="superscript"/>
        </w:rPr>
        <w:t>)</w:t>
      </w:r>
      <w:r>
        <w:t>(</w:t>
      </w:r>
      <w:r>
        <w:rPr>
          <w:lang w:val="en-US"/>
        </w:rPr>
        <w:t>t</w:t>
      </w:r>
      <w:r>
        <w:rPr>
          <w:vertAlign w:val="subscript"/>
        </w:rPr>
        <w:t>1</w:t>
      </w:r>
      <w:r>
        <w:t xml:space="preserve">)} значений реализации в этот момент образует случайную величину </w:t>
      </w:r>
      <w:r>
        <w:rPr>
          <w:i/>
          <w:iCs/>
        </w:rPr>
        <w:t>X.</w:t>
      </w:r>
      <w:r>
        <w:t xml:space="preserve"> Значения этой случайной вели</w:t>
      </w:r>
      <w:r>
        <w:softHyphen/>
        <w:t xml:space="preserve">чины заранее неизвестны. Но можно установить некоторые закономерности, по которым можно судить о том, что в данном сечении случайная величина с вероятностью </w:t>
      </w:r>
      <w:r>
        <w:rPr>
          <w:i/>
          <w:iCs/>
        </w:rPr>
        <w:t>Р</w:t>
      </w:r>
      <w:r>
        <w:t xml:space="preserve"> будет принимать значение в определённых пределах [</w:t>
      </w:r>
      <w:r>
        <w:rPr>
          <w:lang w:val="en-US"/>
        </w:rPr>
        <w:t>x</w:t>
      </w:r>
      <w:r>
        <w:t xml:space="preserve">, </w:t>
      </w:r>
      <w:r>
        <w:rPr>
          <w:lang w:val="en-US"/>
        </w:rPr>
        <w:t>x</w:t>
      </w:r>
      <w:r>
        <w:t>+∆</w:t>
      </w:r>
      <w:r>
        <w:rPr>
          <w:lang w:val="en-US"/>
        </w:rPr>
        <w:t>x</w:t>
      </w:r>
      <w:r>
        <w:t>].</w:t>
      </w:r>
    </w:p>
    <w:p w:rsidR="00233125" w:rsidRDefault="00233125" w:rsidP="00233125">
      <w:pPr>
        <w:jc w:val="center"/>
      </w:pPr>
      <w:r>
        <w:t xml:space="preserve">Для непрерывных процессов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распределение вероятностей в заданном сечении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1</w:t>
      </w:r>
      <w:r>
        <w:t xml:space="preserve"> характеризуется </w:t>
      </w:r>
      <w:r>
        <w:rPr>
          <w:i/>
          <w:iCs/>
        </w:rPr>
        <w:t>одномер</w:t>
      </w:r>
      <w:r>
        <w:rPr>
          <w:i/>
          <w:iCs/>
        </w:rPr>
        <w:softHyphen/>
        <w:t>ной плотностью вероятностей</w:t>
      </w:r>
      <w:r>
        <w:t xml:space="preserve"> (ПВ)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633E56B7" wp14:editId="6991A61C">
            <wp:extent cx="2152650" cy="457200"/>
            <wp:effectExtent l="0" t="0" r="0" b="0"/>
            <wp:docPr id="17" name="Picture 17" descr="C:\Users\Василий\Desktop\Нов лек ТЭС\Лекции ТЭС последние\ГЛАВА 2_files\image2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C:\Users\Василий\Desktop\Нов лек ТЭС\Лекции ТЭС последние\ГЛАВА 2_files\image271.gif"/>
                    <pic:cNvPicPr>
                      <a:picLocks noChangeAspect="1" noChangeArrowheads="1"/>
                    </pic:cNvPicPr>
                  </pic:nvPicPr>
                  <pic:blipFill>
                    <a:blip r:link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,</w:t>
      </w:r>
    </w:p>
    <w:p w:rsidR="00233125" w:rsidRDefault="00233125" w:rsidP="00233125">
      <w:pPr>
        <w:jc w:val="center"/>
      </w:pPr>
      <w:r>
        <w:t xml:space="preserve">выражающей отношение вероятности того, что случайная величина </w:t>
      </w:r>
      <w:r>
        <w:rPr>
          <w:i/>
          <w:iCs/>
          <w:lang w:val="en-US"/>
        </w:rPr>
        <w:t>X</w:t>
      </w:r>
      <w:r>
        <w:rPr>
          <w:i/>
          <w:iCs/>
        </w:rPr>
        <w:t>(</w:t>
      </w:r>
      <w:r>
        <w:rPr>
          <w:i/>
          <w:iCs/>
          <w:lang w:val="en-US"/>
        </w:rPr>
        <w:t>t</w:t>
      </w:r>
      <w:r>
        <w:rPr>
          <w:i/>
          <w:iCs/>
        </w:rPr>
        <w:t>)</w:t>
      </w:r>
      <w:r>
        <w:t xml:space="preserve"> примет значения в интервале </w:t>
      </w:r>
      <w:r>
        <w:rPr>
          <w:noProof/>
          <w:vertAlign w:val="subscript"/>
        </w:rPr>
        <w:drawing>
          <wp:inline distT="0" distB="0" distL="0" distR="0" wp14:anchorId="139E7523" wp14:editId="410087F2">
            <wp:extent cx="952500" cy="180975"/>
            <wp:effectExtent l="0" t="0" r="0" b="9525"/>
            <wp:docPr id="18" name="Picture 18" descr="C:\Users\Василий\Desktop\Нов лек ТЭС\Лекции ТЭС последние\ГЛАВА 2_files\image2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C:\Users\Василий\Desktop\Нов лек ТЭС\Лекции ТЭС последние\ГЛАВА 2_files\image272.gif"/>
                    <pic:cNvPicPr>
                      <a:picLocks noChangeAspect="1" noChangeArrowheads="1"/>
                    </pic:cNvPicPr>
                  </pic:nvPicPr>
                  <pic:blipFill>
                    <a:blip r:link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, к величине интервала ∆х На рисунке 13.2, </w:t>
      </w:r>
      <w:r>
        <w:rPr>
          <w:i/>
          <w:iCs/>
        </w:rPr>
        <w:t>а</w:t>
      </w:r>
      <w:r>
        <w:t xml:space="preserve"> изображён типовой график одномерной ПВ.</w:t>
      </w:r>
    </w:p>
    <w:p w:rsidR="00233125" w:rsidRDefault="00233125" w:rsidP="00233125">
      <w:pPr>
        <w:jc w:val="center"/>
      </w:pPr>
      <w:r>
        <w:t xml:space="preserve">Вероятность того, что случайная величина </w:t>
      </w:r>
      <w:r>
        <w:rPr>
          <w:lang w:val="en-US"/>
        </w:rPr>
        <w:t>X</w:t>
      </w:r>
      <w:r w:rsidRPr="00DF3D91">
        <w:t xml:space="preserve"> </w:t>
      </w:r>
      <w:r>
        <w:t>примет значение в интервале (</w:t>
      </w:r>
      <w:r>
        <w:rPr>
          <w:lang w:val="en-US"/>
        </w:rPr>
        <w:t>x</w:t>
      </w:r>
      <w:r>
        <w:rPr>
          <w:vertAlign w:val="subscript"/>
        </w:rPr>
        <w:t>1</w:t>
      </w:r>
      <w:r>
        <w:t>;</w:t>
      </w:r>
      <w:r>
        <w:rPr>
          <w:lang w:val="en-US"/>
        </w:rPr>
        <w:t>x</w:t>
      </w:r>
      <w:r>
        <w:rPr>
          <w:vertAlign w:val="subscript"/>
        </w:rPr>
        <w:t>2</w:t>
      </w:r>
      <w:r>
        <w:rPr>
          <w:i/>
          <w:iCs/>
        </w:rPr>
        <w:t>)</w:t>
      </w:r>
      <w:r>
        <w:t xml:space="preserve"> опреде</w:t>
      </w:r>
      <w:r>
        <w:softHyphen/>
        <w:t xml:space="preserve">ляется выражением </w:t>
      </w:r>
      <w:r>
        <w:rPr>
          <w:noProof/>
          <w:vertAlign w:val="subscript"/>
        </w:rPr>
        <w:drawing>
          <wp:inline distT="0" distB="0" distL="0" distR="0" wp14:anchorId="4C6C2CA6" wp14:editId="6CF9BF0F">
            <wp:extent cx="2447925" cy="438150"/>
            <wp:effectExtent l="0" t="0" r="0" b="0"/>
            <wp:docPr id="19" name="Picture 19" descr="C:\Users\Василий\Desktop\Нов лек ТЭС\Лекции ТЭС последние\ГЛАВА 2_files\image2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C:\Users\Василий\Desktop\Нов лек ТЭС\Лекции ТЭС последние\ГЛАВА 2_files\image273.gif"/>
                    <pic:cNvPicPr>
                      <a:picLocks noChangeAspect="1" noChangeArrowheads="1"/>
                    </pic:cNvPicPr>
                  </pic:nvPicPr>
                  <pic:blipFill>
                    <a:blip r:link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233125" w:rsidRDefault="00233125" w:rsidP="00233125">
      <w:pPr>
        <w:jc w:val="center"/>
      </w:pPr>
      <w:r>
        <w:rPr>
          <w:noProof/>
        </w:rPr>
        <w:drawing>
          <wp:inline distT="0" distB="0" distL="0" distR="0" wp14:anchorId="44238BB9" wp14:editId="22B419FE">
            <wp:extent cx="5467350" cy="1857375"/>
            <wp:effectExtent l="0" t="0" r="0" b="9525"/>
            <wp:docPr id="20" name="Picture 20" descr="C:\Users\Василий\Desktop\Нов лек ТЭС\Лекции ТЭС последние\ГЛАВА 2_files\image2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C:\Users\Василий\Desktop\Нов лек ТЭС\Лекции ТЭС последние\ГЛАВА 2_files\image274.gif"/>
                    <pic:cNvPicPr>
                      <a:picLocks noChangeAspect="1" noChangeArrowheads="1"/>
                    </pic:cNvPicPr>
                  </pic:nvPicPr>
                  <pic:blipFill>
                    <a:blip r:link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125" w:rsidRDefault="00233125" w:rsidP="00233125">
      <w:pPr>
        <w:jc w:val="center"/>
      </w:pPr>
      <w:r>
        <w:t>Рисунок 13.1 - Задание случайного процесса через совокупность его реализаций Рисунок 13.2 - Типовой график (а) одномерной ПВ и (б) одномерной ИФР</w:t>
      </w:r>
    </w:p>
    <w:p w:rsidR="00233125" w:rsidRDefault="00233125" w:rsidP="00233125">
      <w:pPr>
        <w:jc w:val="center"/>
        <w:rPr>
          <w:rFonts w:eastAsia="Times New Roman"/>
        </w:rPr>
      </w:pPr>
      <w:r>
        <w:rPr>
          <w:rFonts w:eastAsia="Times New Roman"/>
        </w:rPr>
        <w:br w:type="textWrapping" w:clear="all"/>
      </w:r>
    </w:p>
    <w:p w:rsidR="00233125" w:rsidRDefault="00233125" w:rsidP="00233125">
      <w:pPr>
        <w:jc w:val="center"/>
      </w:pPr>
      <w:r>
        <w:t xml:space="preserve">Другой важной характеристикой случайных величин </w:t>
      </w:r>
      <w:r>
        <w:rPr>
          <w:i/>
          <w:iCs/>
        </w:rPr>
        <w:t>Х</w:t>
      </w:r>
      <w:r>
        <w:t xml:space="preserve"> является </w:t>
      </w:r>
      <w:r>
        <w:rPr>
          <w:i/>
          <w:iCs/>
        </w:rPr>
        <w:t>ИФР</w:t>
      </w:r>
      <w:r>
        <w:t xml:space="preserve"> </w:t>
      </w:r>
      <w:r>
        <w:rPr>
          <w:i/>
          <w:iCs/>
          <w:lang w:val="en-US"/>
        </w:rPr>
        <w:t>F</w:t>
      </w:r>
      <w:r>
        <w:rPr>
          <w:i/>
          <w:iCs/>
        </w:rPr>
        <w:t>(</w:t>
      </w:r>
      <w:r>
        <w:rPr>
          <w:i/>
          <w:iCs/>
          <w:lang w:val="en-US"/>
        </w:rPr>
        <w:t>x</w:t>
      </w:r>
      <w:r>
        <w:rPr>
          <w:i/>
          <w:iCs/>
        </w:rPr>
        <w:t>),</w:t>
      </w:r>
      <w:r>
        <w:t xml:space="preserve"> определяемая как вероятность того, что случайная величина </w:t>
      </w:r>
      <w:r>
        <w:rPr>
          <w:lang w:val="en-US"/>
        </w:rPr>
        <w:t>X</w:t>
      </w:r>
      <w:r>
        <w:t xml:space="preserve"> не превзойдёт некоторого значения </w:t>
      </w:r>
      <w:r>
        <w:rPr>
          <w:i/>
          <w:iCs/>
        </w:rPr>
        <w:t xml:space="preserve">х </w:t>
      </w:r>
      <w:r>
        <w:rPr>
          <w:noProof/>
          <w:vertAlign w:val="subscript"/>
        </w:rPr>
        <w:drawing>
          <wp:inline distT="0" distB="0" distL="0" distR="0" wp14:anchorId="7255DA52" wp14:editId="62A56CB4">
            <wp:extent cx="1771650" cy="457200"/>
            <wp:effectExtent l="0" t="0" r="0" b="0"/>
            <wp:docPr id="21" name="Picture 21" descr="C:\Users\Василий\Desktop\Нов лек ТЭС\Лекции ТЭС последние\ГЛАВА 2_files\image2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C:\Users\Василий\Desktop\Нов лек ТЭС\Лекции ТЭС последние\ГЛАВА 2_files\image275.gif"/>
                    <pic:cNvPicPr>
                      <a:picLocks noChangeAspect="1" noChangeArrowheads="1"/>
                    </pic:cNvPicPr>
                  </pic:nvPicPr>
                  <pic:blipFill>
                    <a:blip r:link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233125" w:rsidRDefault="00233125" w:rsidP="00233125">
      <w:pPr>
        <w:jc w:val="center"/>
      </w:pPr>
      <w:r>
        <w:t>ИФР имеет следующие свойства:</w:t>
      </w:r>
    </w:p>
    <w:p w:rsidR="00233125" w:rsidRDefault="00233125" w:rsidP="00233125">
      <w:pPr>
        <w:jc w:val="center"/>
      </w:pPr>
      <w:r>
        <w:t>а)</w:t>
      </w:r>
      <w:r>
        <w:rPr>
          <w:lang w:val="en-US"/>
        </w:rPr>
        <w:t>F</w:t>
      </w:r>
      <w:r>
        <w:t>(-∞)=0;</w:t>
      </w:r>
    </w:p>
    <w:p w:rsidR="00233125" w:rsidRDefault="00233125" w:rsidP="00233125">
      <w:pPr>
        <w:jc w:val="center"/>
      </w:pPr>
      <w:r>
        <w:t xml:space="preserve">б) </w:t>
      </w:r>
      <w:r>
        <w:rPr>
          <w:lang w:val="en-US"/>
        </w:rPr>
        <w:t>F</w:t>
      </w:r>
      <w:r>
        <w:t>(∞)=1;</w:t>
      </w:r>
    </w:p>
    <w:p w:rsidR="00233125" w:rsidRDefault="00233125" w:rsidP="00233125">
      <w:pPr>
        <w:jc w:val="center"/>
      </w:pPr>
      <w:r>
        <w:t xml:space="preserve">в) </w:t>
      </w:r>
      <w:r>
        <w:rPr>
          <w:lang w:val="en-US"/>
        </w:rPr>
        <w:t>F</w:t>
      </w:r>
      <w:r>
        <w:t>(</w:t>
      </w:r>
      <w:r>
        <w:rPr>
          <w:lang w:val="en-US"/>
        </w:rPr>
        <w:t>x</w:t>
      </w:r>
      <w:r>
        <w:t xml:space="preserve">) — неубывающая функция, т.е. </w:t>
      </w:r>
      <w:r>
        <w:rPr>
          <w:i/>
          <w:iCs/>
          <w:lang w:val="en-US"/>
        </w:rPr>
        <w:t>F</w:t>
      </w:r>
      <w:r>
        <w:rPr>
          <w:i/>
          <w:iCs/>
        </w:rPr>
        <w:t xml:space="preserve"> (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2</w:t>
      </w:r>
      <w:r>
        <w:rPr>
          <w:i/>
          <w:iCs/>
        </w:rPr>
        <w:t>)</w:t>
      </w:r>
      <w:r>
        <w:t xml:space="preserve"> ≥ </w:t>
      </w:r>
      <w:r>
        <w:rPr>
          <w:i/>
          <w:iCs/>
          <w:lang w:val="en-US"/>
        </w:rPr>
        <w:t>F</w:t>
      </w:r>
      <w:r>
        <w:rPr>
          <w:i/>
          <w:iCs/>
        </w:rPr>
        <w:t xml:space="preserve"> (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1</w:t>
      </w:r>
      <w:r>
        <w:rPr>
          <w:i/>
          <w:iCs/>
        </w:rPr>
        <w:t>)</w:t>
      </w:r>
      <w:r>
        <w:t xml:space="preserve"> при </w:t>
      </w:r>
      <w:r>
        <w:rPr>
          <w:i/>
          <w:iCs/>
        </w:rPr>
        <w:t>х</w:t>
      </w:r>
      <w:r>
        <w:rPr>
          <w:i/>
          <w:iCs/>
          <w:vertAlign w:val="subscript"/>
        </w:rPr>
        <w:t>2</w:t>
      </w:r>
      <w:r>
        <w:rPr>
          <w:i/>
          <w:iCs/>
        </w:rPr>
        <w:t xml:space="preserve"> &gt; 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1</w:t>
      </w:r>
      <w:r>
        <w:rPr>
          <w:i/>
          <w:iCs/>
        </w:rPr>
        <w:t>;</w:t>
      </w:r>
    </w:p>
    <w:p w:rsidR="00233125" w:rsidRDefault="00233125" w:rsidP="00233125">
      <w:pPr>
        <w:jc w:val="center"/>
      </w:pPr>
      <w:r>
        <w:t xml:space="preserve">г) </w:t>
      </w:r>
      <w:r>
        <w:rPr>
          <w:lang w:val="en-US"/>
        </w:rPr>
        <w:t>P</w:t>
      </w:r>
      <w:r>
        <w:t>[</w:t>
      </w:r>
      <w:r>
        <w:rPr>
          <w:lang w:val="en-US"/>
        </w:rPr>
        <w:t>x</w:t>
      </w:r>
      <w:r>
        <w:rPr>
          <w:vertAlign w:val="subscript"/>
        </w:rPr>
        <w:t>1</w:t>
      </w:r>
      <w:r>
        <w:t>≤</w:t>
      </w:r>
      <w:r>
        <w:rPr>
          <w:lang w:val="en-US"/>
        </w:rPr>
        <w:t>X</w:t>
      </w:r>
      <w:r>
        <w:t>≤</w:t>
      </w:r>
      <w:r>
        <w:rPr>
          <w:lang w:val="en-US"/>
        </w:rPr>
        <w:t>x</w:t>
      </w:r>
      <w:r>
        <w:rPr>
          <w:vertAlign w:val="subscript"/>
        </w:rPr>
        <w:t>2</w:t>
      </w:r>
      <w:r>
        <w:t>]=</w:t>
      </w:r>
      <w:r>
        <w:rPr>
          <w:lang w:val="en-US"/>
        </w:rPr>
        <w:t>F</w:t>
      </w:r>
      <w:r>
        <w:t>(</w:t>
      </w:r>
      <w:r>
        <w:rPr>
          <w:lang w:val="en-US"/>
        </w:rPr>
        <w:t>x</w:t>
      </w:r>
      <w:r>
        <w:rPr>
          <w:vertAlign w:val="subscript"/>
        </w:rPr>
        <w:t>2</w:t>
      </w:r>
      <w:r>
        <w:t xml:space="preserve">)- </w:t>
      </w:r>
      <w:r>
        <w:rPr>
          <w:lang w:val="en-US"/>
        </w:rPr>
        <w:t>F</w:t>
      </w:r>
      <w:r>
        <w:t>(</w:t>
      </w:r>
      <w:r>
        <w:rPr>
          <w:lang w:val="en-US"/>
        </w:rPr>
        <w:t>x</w:t>
      </w:r>
      <w:r>
        <w:rPr>
          <w:vertAlign w:val="subscript"/>
        </w:rPr>
        <w:t>1</w:t>
      </w:r>
      <w:r>
        <w:t>)</w:t>
      </w:r>
    </w:p>
    <w:p w:rsidR="00233125" w:rsidRDefault="00233125" w:rsidP="00233125">
      <w:pPr>
        <w:jc w:val="center"/>
      </w:pPr>
      <w:r>
        <w:t xml:space="preserve">График ИФР </w:t>
      </w:r>
      <w:r>
        <w:rPr>
          <w:i/>
          <w:iCs/>
          <w:lang w:val="en-US"/>
        </w:rPr>
        <w:t>F</w:t>
      </w:r>
      <w:r>
        <w:rPr>
          <w:i/>
          <w:iCs/>
        </w:rPr>
        <w:t>{</w:t>
      </w:r>
      <w:r>
        <w:rPr>
          <w:i/>
          <w:iCs/>
          <w:lang w:val="en-US"/>
        </w:rPr>
        <w:t>x</w:t>
      </w:r>
      <w:r>
        <w:rPr>
          <w:i/>
          <w:iCs/>
        </w:rPr>
        <w:t>)</w:t>
      </w:r>
      <w:r>
        <w:t xml:space="preserve"> приведён на рисунке 13.2, б</w:t>
      </w:r>
      <w:r>
        <w:rPr>
          <w:i/>
          <w:iCs/>
        </w:rPr>
        <w:t>.</w:t>
      </w:r>
    </w:p>
    <w:p w:rsidR="00233125" w:rsidRDefault="00233125" w:rsidP="00233125">
      <w:pPr>
        <w:jc w:val="center"/>
      </w:pPr>
      <w:r>
        <w:t xml:space="preserve">В прикладных задачах часто предполагают, что ИФР являются дифференцируемыми функциями и определяют </w:t>
      </w:r>
      <w:r>
        <w:rPr>
          <w:lang w:val="en-US"/>
        </w:rPr>
        <w:t>w</w:t>
      </w:r>
      <w:r>
        <w:t>(</w:t>
      </w:r>
      <w:r>
        <w:rPr>
          <w:lang w:val="en-US"/>
        </w:rPr>
        <w:t>x</w:t>
      </w:r>
      <w:r>
        <w:t>) как производную от ИФР:</w:t>
      </w:r>
    </w:p>
    <w:p w:rsidR="00233125" w:rsidRDefault="00233125" w:rsidP="00233125">
      <w:pPr>
        <w:jc w:val="center"/>
      </w:pPr>
      <w:r>
        <w:rPr>
          <w:noProof/>
          <w:vertAlign w:val="subscript"/>
        </w:rPr>
        <w:drawing>
          <wp:inline distT="0" distB="0" distL="0" distR="0" wp14:anchorId="7F482B66" wp14:editId="0EB5EB7B">
            <wp:extent cx="1133475" cy="390525"/>
            <wp:effectExtent l="0" t="0" r="9525" b="9525"/>
            <wp:docPr id="22" name="Picture 22" descr="C:\Users\Василий\Desktop\Нов лек ТЭС\Лекции ТЭС последние\ГЛАВА 2_files\image2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C:\Users\Василий\Desktop\Нов лек ТЭС\Лекции ТЭС последние\ГЛАВА 2_files\image276.gif"/>
                    <pic:cNvPicPr>
                      <a:picLocks noChangeAspect="1" noChangeArrowheads="1"/>
                    </pic:cNvPicPr>
                  </pic:nvPicPr>
                  <pic:blipFill>
                    <a:blip r:link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</w:p>
    <w:p w:rsidR="00233125" w:rsidRDefault="00233125" w:rsidP="00233125">
      <w:pPr>
        <w:jc w:val="center"/>
      </w:pPr>
      <w:r>
        <w:t xml:space="preserve">Для более полного описания случайного процесса нужно располагать его </w:t>
      </w:r>
      <w:r>
        <w:rPr>
          <w:lang w:val="en-US"/>
        </w:rPr>
        <w:t>n</w:t>
      </w:r>
      <w:r>
        <w:t>-мерной плотно</w:t>
      </w:r>
      <w:r>
        <w:softHyphen/>
        <w:t xml:space="preserve">стью вероятности </w:t>
      </w:r>
      <w:r>
        <w:rPr>
          <w:i/>
          <w:iCs/>
          <w:lang w:val="en-US"/>
        </w:rPr>
        <w:t>w</w:t>
      </w:r>
      <w:r>
        <w:rPr>
          <w:i/>
          <w:iCs/>
        </w:rPr>
        <w:t>(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, 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2,…,</w:t>
      </w:r>
      <w:r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x</w:t>
      </w:r>
      <w:r>
        <w:rPr>
          <w:i/>
          <w:iCs/>
          <w:vertAlign w:val="subscript"/>
          <w:lang w:val="en-US"/>
        </w:rPr>
        <w:t>n</w:t>
      </w:r>
      <w:proofErr w:type="spellEnd"/>
      <w:r>
        <w:rPr>
          <w:i/>
          <w:iCs/>
        </w:rPr>
        <w:t xml:space="preserve">;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1</w:t>
      </w:r>
      <w:r>
        <w:rPr>
          <w:i/>
          <w:iCs/>
        </w:rPr>
        <w:t>,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2,…,</w:t>
      </w:r>
      <w:r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n</w:t>
      </w:r>
      <w:proofErr w:type="spellEnd"/>
      <w:r>
        <w:t xml:space="preserve">) или </w:t>
      </w:r>
      <w:r>
        <w:rPr>
          <w:lang w:val="en-US"/>
        </w:rPr>
        <w:t>n</w:t>
      </w:r>
      <w:r>
        <w:t xml:space="preserve">-мерной ИФР </w:t>
      </w:r>
      <w:r>
        <w:rPr>
          <w:i/>
          <w:iCs/>
          <w:lang w:val="en-US"/>
        </w:rPr>
        <w:t>F</w:t>
      </w:r>
      <w:r>
        <w:rPr>
          <w:i/>
          <w:iCs/>
        </w:rPr>
        <w:t>(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1</w:t>
      </w:r>
      <w:r>
        <w:rPr>
          <w:i/>
          <w:iCs/>
        </w:rPr>
        <w:t xml:space="preserve">, </w:t>
      </w:r>
      <w:r>
        <w:rPr>
          <w:i/>
          <w:iCs/>
          <w:lang w:val="en-US"/>
        </w:rPr>
        <w:t>x</w:t>
      </w:r>
      <w:r>
        <w:rPr>
          <w:i/>
          <w:iCs/>
          <w:vertAlign w:val="subscript"/>
        </w:rPr>
        <w:t>2,…,</w:t>
      </w:r>
      <w:r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x</w:t>
      </w:r>
      <w:r>
        <w:rPr>
          <w:i/>
          <w:iCs/>
          <w:vertAlign w:val="subscript"/>
          <w:lang w:val="en-US"/>
        </w:rPr>
        <w:t>n</w:t>
      </w:r>
      <w:proofErr w:type="spellEnd"/>
      <w:r>
        <w:rPr>
          <w:i/>
          <w:iCs/>
        </w:rPr>
        <w:t xml:space="preserve">;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1</w:t>
      </w:r>
      <w:r>
        <w:rPr>
          <w:i/>
          <w:iCs/>
        </w:rPr>
        <w:t>,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2,…,</w:t>
      </w:r>
      <w:r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n</w:t>
      </w:r>
      <w:proofErr w:type="spellEnd"/>
      <w:r>
        <w:t xml:space="preserve">), выражающих свойства случайного процесса в произвольных сечениях 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1</w:t>
      </w:r>
      <w:r>
        <w:rPr>
          <w:i/>
          <w:iCs/>
        </w:rPr>
        <w:t>,</w:t>
      </w:r>
      <w:r>
        <w:rPr>
          <w:i/>
          <w:iCs/>
          <w:lang w:val="en-US"/>
        </w:rPr>
        <w:t>t</w:t>
      </w:r>
      <w:r>
        <w:rPr>
          <w:i/>
          <w:iCs/>
          <w:vertAlign w:val="subscript"/>
        </w:rPr>
        <w:t>2,…,</w:t>
      </w:r>
      <w:r>
        <w:rPr>
          <w:i/>
          <w:iCs/>
        </w:rPr>
        <w:t xml:space="preserve"> </w:t>
      </w:r>
      <w:proofErr w:type="spellStart"/>
      <w:r>
        <w:rPr>
          <w:i/>
          <w:iCs/>
          <w:lang w:val="en-US"/>
        </w:rPr>
        <w:t>t</w:t>
      </w:r>
      <w:r>
        <w:rPr>
          <w:i/>
          <w:iCs/>
          <w:vertAlign w:val="subscript"/>
          <w:lang w:val="en-US"/>
        </w:rPr>
        <w:t>n</w:t>
      </w:r>
      <w:proofErr w:type="spellEnd"/>
      <w:r>
        <w:t xml:space="preserve">. Для полного описания непрерывного во времени СП приходится </w:t>
      </w:r>
      <w:r>
        <w:rPr>
          <w:i/>
          <w:iCs/>
        </w:rPr>
        <w:t xml:space="preserve">п→∞ </w:t>
      </w:r>
      <w:r>
        <w:t>.</w:t>
      </w:r>
    </w:p>
    <w:p w:rsidR="00233125" w:rsidRDefault="00233125" w:rsidP="00233125">
      <w:pPr>
        <w:jc w:val="center"/>
      </w:pPr>
      <w:r>
        <w:t xml:space="preserve">Моменты, которые наблюдаются в сечениях процессов, зависят от временных аргументов, они получили название </w:t>
      </w:r>
      <w:r>
        <w:rPr>
          <w:i/>
          <w:iCs/>
        </w:rPr>
        <w:t xml:space="preserve">моментных функций. </w:t>
      </w:r>
      <w:r>
        <w:t>Для статистической радиотехники наибольшее значение имеют три моментные функции низших порядков, называемые математическим ожиданием, дисперсией и функцией корреляции.</w:t>
      </w:r>
    </w:p>
    <w:p w:rsidR="00E10DA9" w:rsidRDefault="00233125">
      <w:bookmarkStart w:id="0" w:name="_GoBack"/>
      <w:bookmarkEnd w:id="0"/>
    </w:p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60A"/>
    <w:rsid w:val="000A3B22"/>
    <w:rsid w:val="00233125"/>
    <w:rsid w:val="00916217"/>
    <w:rsid w:val="00F27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12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31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12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12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31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3125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8.gif" TargetMode="External"/><Relationship Id="rId1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3.gif" TargetMode="External"/><Relationship Id="rId18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8.gif" TargetMode="External"/><Relationship Id="rId2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6.gif" TargetMode="External"/><Relationship Id="rId3" Type="http://schemas.openxmlformats.org/officeDocument/2006/relationships/settings" Target="settings.xml"/><Relationship Id="rId2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1.gif" TargetMode="External"/><Relationship Id="rId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7.gif" TargetMode="External"/><Relationship Id="rId1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2.gif" TargetMode="External"/><Relationship Id="rId17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7.gif" TargetMode="External"/><Relationship Id="rId2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5.gif" TargetMode="External"/><Relationship Id="rId2" Type="http://schemas.microsoft.com/office/2007/relationships/stylesWithEffects" Target="stylesWithEffects.xml"/><Relationship Id="rId1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6.gif" TargetMode="External"/><Relationship Id="rId2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0.gif" TargetMode="External"/><Relationship Id="rId1" Type="http://schemas.openxmlformats.org/officeDocument/2006/relationships/styles" Target="styles.xml"/><Relationship Id="rId6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6.gif" TargetMode="External"/><Relationship Id="rId11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1.gif" TargetMode="External"/><Relationship Id="rId2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4.gif" TargetMode="External"/><Relationship Id="rId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5.gif" TargetMode="External"/><Relationship Id="rId15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5.gif" TargetMode="External"/><Relationship Id="rId23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3.gif" TargetMode="External"/><Relationship Id="rId28" Type="http://schemas.openxmlformats.org/officeDocument/2006/relationships/theme" Target="theme/theme1.xml"/><Relationship Id="rId10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0.gif" TargetMode="External"/><Relationship Id="rId1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9.gif" TargetMode="External"/><Relationship Id="rId4" Type="http://schemas.openxmlformats.org/officeDocument/2006/relationships/webSettings" Target="webSettings.xml"/><Relationship Id="rId9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59.gif" TargetMode="External"/><Relationship Id="rId14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64.gif" TargetMode="External"/><Relationship Id="rId22" Type="http://schemas.openxmlformats.org/officeDocument/2006/relationships/image" Target="file:///C:\Users\&#1042;&#1072;&#1089;&#1080;&#1083;&#1080;&#1081;\Desktop\&#1053;&#1086;&#1074;%20&#1083;&#1077;&#1082;%20&#1058;&#1069;&#1057;\&#1051;&#1077;&#1082;&#1094;&#1080;&#1080;%20&#1058;&#1069;&#1057;%20&#1087;&#1086;&#1089;&#1083;&#1077;&#1076;&#1085;&#1080;&#1077;\&#1043;&#1051;&#1040;&#1042;&#1040;%202_files\image272.gif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1207</Words>
  <Characters>6886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2020-09-24T19:28:00Z</dcterms:created>
  <dcterms:modified xsi:type="dcterms:W3CDTF">2020-09-24T19:28:00Z</dcterms:modified>
</cp:coreProperties>
</file>